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Treatment Progress Review</w:t>
      </w:r>
    </w:p>
    <w:p>
      <w:pPr>
        <w:jc w:val="center"/>
      </w:pPr>
      <w:r>
        <w:rPr>
          <w:i/>
          <w:color w:val="505050"/>
          <w:sz w:val="18"/>
        </w:rPr>
        <w:t>Progress, barriers, changes, and next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Client or patient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Review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Provider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Plan period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016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Goal</w:t>
            </w:r>
          </w:p>
        </w:tc>
        <w:tc>
          <w:tcPr>
            <w:tcW w:type="dxa" w:w="2880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Progress evidence</w:t>
            </w:r>
          </w:p>
        </w:tc>
        <w:tc>
          <w:tcPr>
            <w:tcW w:type="dxa" w:w="1440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Status</w:t>
            </w:r>
          </w:p>
        </w:tc>
        <w:tc>
          <w:tcPr>
            <w:tcW w:type="dxa" w:w="2016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Barrier</w:t>
            </w:r>
          </w:p>
        </w:tc>
        <w:tc>
          <w:tcPr>
            <w:tcW w:type="dxa" w:w="2160"/>
            <w:shd w:fill="843C0C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Adjustment</w:t>
            </w:r>
          </w:p>
        </w:tc>
      </w:tr>
      <w:tr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01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Review Summary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Overall response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Safety or escalation concern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Agreed next step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FCE4D6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Next review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Treatment Progress Review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