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Treatment Plan</w:t>
      </w:r>
    </w:p>
    <w:p>
      <w:pPr>
        <w:jc w:val="center"/>
      </w:pPr>
      <w:r>
        <w:rPr>
          <w:i/>
          <w:color w:val="505050"/>
          <w:sz w:val="18"/>
        </w:rPr>
        <w:t>Goals, interventions, responsibilities, and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4DFE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Client or patient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4DFE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Record number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4DFE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Plan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4DFE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Provider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4DFE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160"/>
            <w:shd w:fill="7030A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Need or concern</w:t>
            </w:r>
          </w:p>
        </w:tc>
        <w:tc>
          <w:tcPr>
            <w:tcW w:type="dxa" w:w="2160"/>
            <w:shd w:fill="7030A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Goal</w:t>
            </w:r>
          </w:p>
        </w:tc>
        <w:tc>
          <w:tcPr>
            <w:tcW w:type="dxa" w:w="2448"/>
            <w:shd w:fill="7030A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Intervention</w:t>
            </w:r>
          </w:p>
        </w:tc>
        <w:tc>
          <w:tcPr>
            <w:tcW w:type="dxa" w:w="1728"/>
            <w:shd w:fill="7030A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Responsible person</w:t>
            </w:r>
          </w:p>
        </w:tc>
        <w:tc>
          <w:tcPr>
            <w:tcW w:type="dxa" w:w="2016"/>
            <w:shd w:fill="7030A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Review measure</w:t>
            </w:r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</w:tbl>
    <w:p>
      <w:r>
        <w:rPr>
          <w:b/>
        </w:rPr>
        <w:t xml:space="preserve">Instructions: </w:t>
      </w:r>
      <w:r>
        <w:t>Use only within your professional scope and applicable privacy, consent, and clinical requirements.</w:t>
      </w:r>
    </w:p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Treatment Plan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