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Short Answer Quiz</w:t>
      </w:r>
    </w:p>
    <w:p>
      <w:pPr>
        <w:jc w:val="center"/>
      </w:pPr>
      <w:r>
        <w:rPr>
          <w:i/>
          <w:color w:val="505050"/>
          <w:sz w:val="18"/>
        </w:rPr>
        <w:t>Questions, written responses, and teacher feedback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FFF2C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FF2C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FF2C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Student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FF2C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FF2C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rPr>
          <w:cantSplit/>
        </w:trPr>
        <w:tc>
          <w:tcPr>
            <w:tcW w:type="dxa" w:w="720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type="dxa" w:w="4032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Question</w:t>
            </w:r>
          </w:p>
        </w:tc>
        <w:tc>
          <w:tcPr>
            <w:tcW w:type="dxa" w:w="1008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Points</w:t>
            </w:r>
          </w:p>
        </w:tc>
        <w:tc>
          <w:tcPr>
            <w:tcW w:type="dxa" w:w="4464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Response</w:t>
            </w:r>
          </w:p>
        </w:tc>
      </w:tr>
      <w:tr>
        <w:trPr>
          <w:cantSplit/>
        </w:trPr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br/>
            </w:r>
          </w:p>
        </w:tc>
      </w:tr>
      <w:tr>
        <w:trPr>
          <w:cantSplit/>
        </w:trPr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br/>
            </w:r>
          </w:p>
        </w:tc>
      </w:tr>
      <w:tr>
        <w:trPr>
          <w:cantSplit/>
        </w:trPr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br/>
            </w:r>
          </w:p>
        </w:tc>
      </w:tr>
      <w:tr>
        <w:trPr>
          <w:cantSplit/>
        </w:trPr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br/>
            </w:r>
          </w:p>
        </w:tc>
      </w:tr>
      <w:tr>
        <w:trPr>
          <w:cantSplit/>
        </w:trPr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br/>
            </w:r>
          </w:p>
        </w:tc>
      </w:tr>
    </w:tbl>
    <w:p>
      <w:pPr>
        <w:pStyle w:val="Heading1"/>
      </w:pPr>
      <w:r>
        <w:t>Teacher Feedback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FFF2C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Strength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FF2C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Next step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Answer Quiz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