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Retail Gift Voucher</w:t>
      </w:r>
    </w:p>
    <w:p>
      <w:pPr>
        <w:jc w:val="center"/>
      </w:pPr>
      <w:r>
        <w:rPr>
          <w:i/>
          <w:color w:val="505050"/>
          <w:sz w:val="18"/>
        </w:rPr>
        <w:t>Recipient, value, terms, and redemption record</w:t>
      </w:r>
    </w:p>
    <w:p>
      <w:pPr>
        <w:jc w:val="center"/>
      </w:pPr>
      <w:r>
        <w:rPr>
          <w:b/>
          <w:color w:val="44546A"/>
          <w:sz w:val="36"/>
        </w:rPr>
        <w:t>GIFT VOUCHER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E7E6E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Voucher number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7E6E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Value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7E6E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For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7E6E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From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7E6E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Issue date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7E6E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Expiry date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p>
      <w:pPr>
        <w:pStyle w:val="Heading1"/>
      </w:pPr>
      <w:r>
        <w:t>Redemption Terms</w:t>
      </w:r>
    </w:p>
    <w:p>
      <w:r>
        <w:t>[Describe where the voucher is accepted, exclusions, balance treatment, transfer rules, and applicable legal requirements.]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E7E6E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Redeemed on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7E6E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Amount used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7E6E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Balance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7E6E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Authorized by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Gift Voucher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