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Community Newsletter</w:t>
      </w:r>
    </w:p>
    <w:p>
      <w:pPr>
        <w:jc w:val="center"/>
      </w:pPr>
      <w:r>
        <w:rPr>
          <w:i/>
          <w:color w:val="505050"/>
          <w:sz w:val="18"/>
        </w:rPr>
        <w:t>News, events, notices, and useful contacts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Community or group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Issue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Editor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p>
      <w:pPr>
        <w:pStyle w:val="Heading1"/>
      </w:pPr>
      <w:r>
        <w:t>Community News</w:t>
      </w:r>
    </w:p>
    <w:p>
      <w:r>
        <w:t>[Summarize the lead story in clear language and include the practical impact on readers.]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440"/>
            <w:shd w:fill="843C0C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type="dxa" w:w="4176"/>
            <w:shd w:fill="843C0C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Event or notice</w:t>
            </w:r>
          </w:p>
        </w:tc>
        <w:tc>
          <w:tcPr>
            <w:tcW w:type="dxa" w:w="2448"/>
            <w:shd w:fill="843C0C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type="dxa" w:w="2448"/>
            <w:shd w:fill="843C0C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Contact</w:t>
            </w:r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17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17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17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17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17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Quick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Volunteer opportunity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Reminder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Next issue deadline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Newsletter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